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24" w:rsidRDefault="00D33F24" w:rsidP="00D33F24">
      <w:pPr>
        <w:spacing w:after="0" w:line="240" w:lineRule="auto"/>
        <w:jc w:val="center"/>
        <w:rPr>
          <w:rFonts w:cstheme="minorHAnsi"/>
          <w:b/>
        </w:rPr>
      </w:pPr>
      <w:r w:rsidRPr="00D33F24">
        <w:rPr>
          <w:rFonts w:cstheme="minorHAnsi"/>
          <w:b/>
        </w:rPr>
        <w:t xml:space="preserve">ETUDE RELATIVE A L'EVALUATION STRATEGIQUE DE LA MISE EN ŒUVRE </w:t>
      </w:r>
    </w:p>
    <w:p w:rsidR="00E2551B" w:rsidRPr="00007E5E" w:rsidRDefault="00D33F24" w:rsidP="00E05B5D">
      <w:pPr>
        <w:spacing w:after="0" w:line="240" w:lineRule="auto"/>
        <w:jc w:val="center"/>
        <w:rPr>
          <w:rFonts w:cstheme="minorHAnsi"/>
          <w:b/>
        </w:rPr>
      </w:pPr>
      <w:r w:rsidRPr="00D33F24">
        <w:rPr>
          <w:rFonts w:cstheme="minorHAnsi"/>
          <w:b/>
        </w:rPr>
        <w:t>DU SCHEMA DIRECTEURD’AMENAGEMENTURBAIN DU GRAND CASABLANCA</w:t>
      </w:r>
    </w:p>
    <w:p w:rsidR="00007E5E" w:rsidRDefault="00007E5E" w:rsidP="005C7B1B">
      <w:pPr>
        <w:spacing w:after="0" w:line="240" w:lineRule="auto"/>
        <w:jc w:val="both"/>
        <w:rPr>
          <w:rFonts w:cstheme="minorHAnsi"/>
        </w:rPr>
      </w:pPr>
    </w:p>
    <w:p w:rsidR="00CD5AFF" w:rsidRPr="00D33F24" w:rsidRDefault="00007E5E" w:rsidP="00CD5AFF">
      <w:pPr>
        <w:keepNext/>
        <w:keepLines/>
        <w:spacing w:after="0" w:line="240" w:lineRule="auto"/>
        <w:jc w:val="both"/>
        <w:outlineLvl w:val="0"/>
        <w:rPr>
          <w:rFonts w:cstheme="minorHAnsi"/>
          <w:color w:val="000000" w:themeColor="text1"/>
        </w:rPr>
      </w:pPr>
      <w:r w:rsidRPr="00D33F24">
        <w:rPr>
          <w:rFonts w:cstheme="minorHAnsi"/>
          <w:color w:val="000000" w:themeColor="text1"/>
        </w:rPr>
        <w:t xml:space="preserve">Le SDAU </w:t>
      </w:r>
      <w:r w:rsidR="004060E7" w:rsidRPr="00D33F24">
        <w:rPr>
          <w:rFonts w:cstheme="minorHAnsi"/>
          <w:color w:val="000000" w:themeColor="text1"/>
        </w:rPr>
        <w:t xml:space="preserve">du Grand Casablanca </w:t>
      </w:r>
      <w:r w:rsidRPr="00D33F24">
        <w:rPr>
          <w:rFonts w:cstheme="minorHAnsi"/>
          <w:color w:val="000000" w:themeColor="text1"/>
        </w:rPr>
        <w:t>a été homologué en 2010 et révisé en 2014.</w:t>
      </w:r>
      <w:r w:rsidR="00CD5AFF" w:rsidRPr="00D33F24">
        <w:rPr>
          <w:rFonts w:cstheme="minorHAnsi"/>
          <w:color w:val="000000" w:themeColor="text1"/>
        </w:rPr>
        <w:t>Au bout de plus d’une décennie depuis l'élaboration de ses options stratégiques (soit à mi-parcours de l’échéance temporelle du SDAU), il est nécessaire de procéder à une évaluation de la mise en œuvre de ses dispositions et leur pertinence, pour apprécier</w:t>
      </w:r>
      <w:r w:rsidR="00231648">
        <w:rPr>
          <w:rFonts w:cstheme="minorHAnsi"/>
          <w:color w:val="000000" w:themeColor="text1"/>
        </w:rPr>
        <w:t xml:space="preserve"> la concrétisation des</w:t>
      </w:r>
      <w:r w:rsidR="00CD5AFF" w:rsidRPr="00D33F24">
        <w:rPr>
          <w:rFonts w:cstheme="minorHAnsi"/>
          <w:color w:val="000000" w:themeColor="text1"/>
        </w:rPr>
        <w:t xml:space="preserve"> objectifs escomptés ainsi qu</w:t>
      </w:r>
      <w:r w:rsidR="00231648">
        <w:rPr>
          <w:rFonts w:cstheme="minorHAnsi"/>
          <w:color w:val="000000" w:themeColor="text1"/>
        </w:rPr>
        <w:t>e</w:t>
      </w:r>
      <w:r w:rsidR="00CD5AFF" w:rsidRPr="00D33F24">
        <w:rPr>
          <w:rFonts w:cstheme="minorHAnsi"/>
          <w:color w:val="000000" w:themeColor="text1"/>
        </w:rPr>
        <w:t xml:space="preserve"> son degré d’opérationnalité.</w:t>
      </w:r>
    </w:p>
    <w:p w:rsidR="001E0854" w:rsidRPr="00E05B5D" w:rsidRDefault="00007E5E" w:rsidP="00E05B5D">
      <w:pPr>
        <w:jc w:val="both"/>
        <w:rPr>
          <w:color w:val="000000" w:themeColor="text1"/>
        </w:rPr>
      </w:pPr>
      <w:r w:rsidRPr="00D33F24">
        <w:rPr>
          <w:color w:val="000000" w:themeColor="text1"/>
        </w:rPr>
        <w:t xml:space="preserve">Cette étude diachronique permettra d’évaluer </w:t>
      </w:r>
      <w:r w:rsidR="00CD5AFF" w:rsidRPr="00D33F24">
        <w:rPr>
          <w:color w:val="000000" w:themeColor="text1"/>
        </w:rPr>
        <w:t xml:space="preserve">le SDAU tant au niveau de son processus d’élaboration, son contenu, sa mise en œuvre </w:t>
      </w:r>
      <w:r w:rsidR="00231648">
        <w:rPr>
          <w:color w:val="000000" w:themeColor="text1"/>
        </w:rPr>
        <w:t>qu’au niveau de</w:t>
      </w:r>
      <w:r w:rsidR="00CD5AFF" w:rsidRPr="00D33F24">
        <w:rPr>
          <w:color w:val="000000" w:themeColor="text1"/>
        </w:rPr>
        <w:t xml:space="preserve"> son impact territorial sur tous les secteurs, afin d’élaborer de</w:t>
      </w:r>
      <w:r w:rsidR="00231648">
        <w:rPr>
          <w:color w:val="000000" w:themeColor="text1"/>
        </w:rPr>
        <w:t xml:space="preserve"> nouvelle</w:t>
      </w:r>
      <w:r w:rsidR="00E05B5D">
        <w:rPr>
          <w:color w:val="000000" w:themeColor="text1"/>
        </w:rPr>
        <w:t>s propositions pour sa révision.</w:t>
      </w:r>
    </w:p>
    <w:p w:rsidR="003C01EF" w:rsidRPr="00D33F24" w:rsidRDefault="00645381" w:rsidP="00645381">
      <w:pPr>
        <w:numPr>
          <w:ilvl w:val="12"/>
          <w:numId w:val="0"/>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L</w:t>
      </w:r>
      <w:r w:rsidR="00531FFF" w:rsidRPr="00D33F24">
        <w:rPr>
          <w:rFonts w:cstheme="minorHAnsi"/>
          <w:color w:val="000000" w:themeColor="text1"/>
        </w:rPr>
        <w:t>’évaluation</w:t>
      </w:r>
      <w:r w:rsidRPr="00D33F24">
        <w:rPr>
          <w:rFonts w:cstheme="minorHAnsi"/>
          <w:color w:val="000000" w:themeColor="text1"/>
        </w:rPr>
        <w:t xml:space="preserve"> stratégique</w:t>
      </w:r>
      <w:r w:rsidR="00531FFF" w:rsidRPr="00D33F24">
        <w:rPr>
          <w:rFonts w:cstheme="minorHAnsi"/>
          <w:color w:val="000000" w:themeColor="text1"/>
        </w:rPr>
        <w:t xml:space="preserve"> de la mise en œuvre du SDAU du Grand Casablanca sera établie selon une démarche multi critères qui analyse le contenu du document, apprécie ses impacts dans les différents secteurs et dégage les éléments du constat sur le processus de planification urbaine et sur les différentes problématiques identifiées.</w:t>
      </w:r>
      <w:r w:rsidRPr="00D33F24">
        <w:rPr>
          <w:rFonts w:cstheme="minorHAnsi"/>
          <w:color w:val="000000" w:themeColor="text1"/>
        </w:rPr>
        <w:t xml:space="preserve"> Cette</w:t>
      </w:r>
      <w:r w:rsidR="00DA33B2" w:rsidRPr="00D33F24">
        <w:rPr>
          <w:rFonts w:cstheme="minorHAnsi"/>
          <w:color w:val="000000" w:themeColor="text1"/>
        </w:rPr>
        <w:t xml:space="preserve"> étude vise à évaluer notamment :</w:t>
      </w:r>
    </w:p>
    <w:p w:rsidR="00645381" w:rsidRPr="00D33F24" w:rsidRDefault="00645381" w:rsidP="00645381">
      <w:pPr>
        <w:numPr>
          <w:ilvl w:val="12"/>
          <w:numId w:val="0"/>
        </w:numPr>
        <w:autoSpaceDE w:val="0"/>
        <w:autoSpaceDN w:val="0"/>
        <w:adjustRightInd w:val="0"/>
        <w:spacing w:after="0" w:line="240" w:lineRule="auto"/>
        <w:jc w:val="both"/>
        <w:rPr>
          <w:rFonts w:cstheme="minorHAnsi"/>
          <w:color w:val="000000" w:themeColor="text1"/>
        </w:rPr>
      </w:pPr>
    </w:p>
    <w:p w:rsidR="00645381" w:rsidRPr="00D33F24" w:rsidRDefault="00645381" w:rsidP="00645381">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la stratégie adoptée par le SDAU sur les plans social, économique et environnemental ;</w:t>
      </w:r>
    </w:p>
    <w:p w:rsidR="00645381" w:rsidRPr="00D33F24" w:rsidRDefault="00645381" w:rsidP="00645381">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la dynamique démographique en se basant sur les résultats du RGPH de 2014 ;</w:t>
      </w:r>
    </w:p>
    <w:p w:rsidR="00645381" w:rsidRPr="00D33F24" w:rsidRDefault="00645381" w:rsidP="00645381">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la pertinence du parti d’aménagement adopté et de l’organisation du territoire ;</w:t>
      </w:r>
    </w:p>
    <w:p w:rsidR="00645381" w:rsidRPr="00D33F24" w:rsidRDefault="00645381" w:rsidP="00D33F24">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l</w:t>
      </w:r>
      <w:r w:rsidR="00231648">
        <w:rPr>
          <w:rFonts w:cstheme="minorHAnsi"/>
          <w:color w:val="000000" w:themeColor="text1"/>
        </w:rPr>
        <w:t>e mode d</w:t>
      </w:r>
      <w:r w:rsidRPr="00D33F24">
        <w:rPr>
          <w:rFonts w:cstheme="minorHAnsi"/>
          <w:color w:val="000000" w:themeColor="text1"/>
        </w:rPr>
        <w:t>’utilisation des sols prévue dans le SDAU </w:t>
      </w:r>
      <w:r w:rsidR="00D33F24">
        <w:rPr>
          <w:rFonts w:cstheme="minorHAnsi"/>
          <w:color w:val="000000" w:themeColor="text1"/>
        </w:rPr>
        <w:t>sur le plan</w:t>
      </w:r>
      <w:r w:rsidRPr="00D33F24">
        <w:rPr>
          <w:rFonts w:cstheme="minorHAnsi"/>
          <w:color w:val="000000" w:themeColor="text1"/>
        </w:rPr>
        <w:t xml:space="preserve"> qualitati</w:t>
      </w:r>
      <w:r w:rsidR="00D33F24">
        <w:rPr>
          <w:rFonts w:cstheme="minorHAnsi"/>
          <w:color w:val="000000" w:themeColor="text1"/>
        </w:rPr>
        <w:t>f</w:t>
      </w:r>
      <w:r w:rsidRPr="00D33F24">
        <w:rPr>
          <w:rFonts w:cstheme="minorHAnsi"/>
          <w:color w:val="000000" w:themeColor="text1"/>
        </w:rPr>
        <w:t>, quantitati</w:t>
      </w:r>
      <w:r w:rsidR="00D33F24">
        <w:rPr>
          <w:rFonts w:cstheme="minorHAnsi"/>
          <w:color w:val="000000" w:themeColor="text1"/>
        </w:rPr>
        <w:t>f</w:t>
      </w:r>
      <w:r w:rsidRPr="00D33F24">
        <w:rPr>
          <w:rFonts w:cstheme="minorHAnsi"/>
          <w:color w:val="000000" w:themeColor="text1"/>
        </w:rPr>
        <w:t xml:space="preserve"> et spatial;</w:t>
      </w:r>
    </w:p>
    <w:p w:rsidR="00645381" w:rsidRPr="00D33F24" w:rsidRDefault="00645381" w:rsidP="00645381">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la mise en œuvre des mesures légales, administratives et institutionnelles recommandées par le SDAU ;</w:t>
      </w:r>
    </w:p>
    <w:p w:rsidR="00645381" w:rsidRPr="00D33F24" w:rsidRDefault="00D33F24" w:rsidP="00645381">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 xml:space="preserve">le </w:t>
      </w:r>
      <w:r w:rsidR="00645381" w:rsidRPr="00D33F24">
        <w:rPr>
          <w:rFonts w:cstheme="minorHAnsi"/>
          <w:color w:val="000000" w:themeColor="text1"/>
        </w:rPr>
        <w:t>positionnement du Grand Casablanca à l’échelle internationale et nationale (concurrence ou complémentarité avec Tanger, notamment en activités portuaires et industrielles) ;</w:t>
      </w:r>
    </w:p>
    <w:p w:rsidR="00645381" w:rsidRPr="00D33F24" w:rsidRDefault="00D33F24" w:rsidP="00645381">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les</w:t>
      </w:r>
      <w:r w:rsidR="00645381" w:rsidRPr="00D33F24">
        <w:rPr>
          <w:rFonts w:cstheme="minorHAnsi"/>
          <w:color w:val="000000" w:themeColor="text1"/>
        </w:rPr>
        <w:t xml:space="preserve"> dynamiques commerciales et de la distribution ainsi qu’une analyse de la mise en œuvre de la logistique urbaine ;</w:t>
      </w:r>
    </w:p>
    <w:p w:rsidR="00645381" w:rsidRPr="00D33F24" w:rsidRDefault="00645381" w:rsidP="00645381">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l’impact des mesures et préconisations du SDAU en matière de prévention et gestion des risques naturels et technologiques dans la stratégie de planification et dans le cadre de l'ensemble des grands projets urbains ;</w:t>
      </w:r>
    </w:p>
    <w:p w:rsidR="00645381" w:rsidRPr="00D33F24" w:rsidRDefault="00645381" w:rsidP="00645381">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 xml:space="preserve">la vulnérabilité du territoire couvert par le SDAU et la capacité de sa résilience ; </w:t>
      </w:r>
    </w:p>
    <w:p w:rsidR="00035FD7" w:rsidRPr="00E30292" w:rsidRDefault="00035FD7" w:rsidP="00035FD7">
      <w:pPr>
        <w:pStyle w:val="Paragraphedeliste"/>
        <w:numPr>
          <w:ilvl w:val="0"/>
          <w:numId w:val="7"/>
        </w:numPr>
        <w:spacing w:after="0" w:line="240" w:lineRule="auto"/>
        <w:jc w:val="both"/>
        <w:rPr>
          <w:rFonts w:cstheme="minorHAnsi"/>
        </w:rPr>
      </w:pPr>
      <w:r w:rsidRPr="005C7B1B">
        <w:rPr>
          <w:rFonts w:eastAsiaTheme="minorEastAsia" w:cstheme="minorHAnsi"/>
          <w:lang w:eastAsia="fr-FR"/>
        </w:rPr>
        <w:t xml:space="preserve">Les tendances </w:t>
      </w:r>
      <w:r>
        <w:rPr>
          <w:rFonts w:eastAsiaTheme="minorEastAsia" w:cstheme="minorHAnsi"/>
          <w:lang w:eastAsia="fr-FR"/>
        </w:rPr>
        <w:t>actuelles de l’</w:t>
      </w:r>
      <w:r w:rsidRPr="005C7B1B">
        <w:rPr>
          <w:rFonts w:eastAsiaTheme="minorEastAsia" w:cstheme="minorHAnsi"/>
          <w:lang w:eastAsia="fr-FR"/>
        </w:rPr>
        <w:t xml:space="preserve">urbanisation par rapport aux projections prévues par le SDAU </w:t>
      </w:r>
      <w:r>
        <w:rPr>
          <w:rFonts w:eastAsiaTheme="minorEastAsia" w:cstheme="minorHAnsi"/>
          <w:lang w:eastAsia="fr-FR"/>
        </w:rPr>
        <w:t>suivant les</w:t>
      </w:r>
      <w:r w:rsidRPr="005C7B1B">
        <w:rPr>
          <w:rFonts w:eastAsiaTheme="minorEastAsia" w:cstheme="minorHAnsi"/>
          <w:lang w:eastAsia="fr-FR"/>
        </w:rPr>
        <w:t xml:space="preserve"> différentes échéances de réalisation </w:t>
      </w:r>
      <w:r>
        <w:rPr>
          <w:rFonts w:eastAsiaTheme="minorEastAsia" w:cstheme="minorHAnsi"/>
          <w:color w:val="000000" w:themeColor="text1"/>
          <w:lang w:eastAsia="fr-FR"/>
        </w:rPr>
        <w:t>(</w:t>
      </w:r>
      <w:r w:rsidRPr="005C7B1B">
        <w:rPr>
          <w:rFonts w:eastAsiaTheme="minorEastAsia" w:cstheme="minorHAnsi"/>
          <w:color w:val="000000" w:themeColor="text1"/>
          <w:lang w:eastAsia="fr-FR"/>
        </w:rPr>
        <w:t>besoins en logement, immobilier de bureaux,zones industrielles, équipements structurants et infrastructure métropolitaine</w:t>
      </w:r>
      <w:r>
        <w:rPr>
          <w:rFonts w:eastAsiaTheme="minorEastAsia" w:cstheme="minorHAnsi"/>
          <w:color w:val="000000" w:themeColor="text1"/>
          <w:lang w:eastAsia="fr-FR"/>
        </w:rPr>
        <w:t>…) ;</w:t>
      </w:r>
    </w:p>
    <w:p w:rsidR="00035FD7" w:rsidRPr="00035FD7" w:rsidRDefault="00035FD7" w:rsidP="00035FD7">
      <w:pPr>
        <w:pStyle w:val="Paragraphedeliste"/>
        <w:numPr>
          <w:ilvl w:val="0"/>
          <w:numId w:val="7"/>
        </w:numPr>
        <w:spacing w:after="0" w:line="240" w:lineRule="auto"/>
        <w:jc w:val="both"/>
        <w:rPr>
          <w:rFonts w:cstheme="minorHAnsi"/>
        </w:rPr>
      </w:pPr>
      <w:r w:rsidRPr="005C7B1B">
        <w:rPr>
          <w:rFonts w:eastAsiaTheme="minorEastAsia" w:cstheme="minorHAnsi"/>
          <w:lang w:eastAsia="fr-FR"/>
        </w:rPr>
        <w:t>L’exploitation des potentialités de l’aire d’étude (économiques, touristiques, naturelles et environnementale…) ;</w:t>
      </w:r>
    </w:p>
    <w:p w:rsidR="00035FD7" w:rsidRPr="00035FD7" w:rsidRDefault="00035FD7" w:rsidP="00035FD7">
      <w:pPr>
        <w:pStyle w:val="Paragraphedeliste"/>
        <w:numPr>
          <w:ilvl w:val="0"/>
          <w:numId w:val="7"/>
        </w:numPr>
        <w:autoSpaceDE w:val="0"/>
        <w:autoSpaceDN w:val="0"/>
        <w:adjustRightInd w:val="0"/>
        <w:spacing w:after="0" w:line="240" w:lineRule="auto"/>
        <w:jc w:val="both"/>
        <w:rPr>
          <w:rFonts w:cstheme="minorHAnsi"/>
          <w:color w:val="000000" w:themeColor="text1"/>
        </w:rPr>
      </w:pPr>
      <w:r w:rsidRPr="00D33F24">
        <w:rPr>
          <w:rFonts w:cstheme="minorHAnsi"/>
          <w:color w:val="000000" w:themeColor="text1"/>
        </w:rPr>
        <w:t>le respect du phasage de réalisation des actions programmées à l’horizon du SDAU (2020-2030) ;</w:t>
      </w:r>
    </w:p>
    <w:p w:rsidR="00035FD7" w:rsidRPr="00035FD7" w:rsidRDefault="00035FD7" w:rsidP="00035FD7">
      <w:pPr>
        <w:pStyle w:val="Paragraphedeliste"/>
        <w:numPr>
          <w:ilvl w:val="0"/>
          <w:numId w:val="7"/>
        </w:numPr>
        <w:spacing w:after="0" w:line="240" w:lineRule="auto"/>
        <w:jc w:val="both"/>
        <w:rPr>
          <w:rFonts w:cstheme="minorHAnsi"/>
        </w:rPr>
      </w:pPr>
      <w:r w:rsidRPr="005C7B1B">
        <w:rPr>
          <w:rFonts w:eastAsiaTheme="minorEastAsia" w:cstheme="minorHAnsi"/>
          <w:lang w:eastAsia="fr-FR"/>
        </w:rPr>
        <w:t>Le degré de réalisation des projets de développement, en identifiant les projets prévus ou en cours de réalisation </w:t>
      </w:r>
      <w:r>
        <w:rPr>
          <w:rFonts w:eastAsiaTheme="minorEastAsia" w:cstheme="minorHAnsi"/>
          <w:lang w:eastAsia="fr-FR"/>
        </w:rPr>
        <w:t>ainsi que l’impact des</w:t>
      </w:r>
      <w:r w:rsidRPr="005C7B1B">
        <w:rPr>
          <w:rFonts w:eastAsiaTheme="minorEastAsia" w:cstheme="minorHAnsi"/>
          <w:color w:val="000000" w:themeColor="text1"/>
          <w:lang w:eastAsia="fr-FR"/>
        </w:rPr>
        <w:t xml:space="preserve"> politiques publiques urbaines sur le développement urbain de la métropole</w:t>
      </w:r>
      <w:r>
        <w:rPr>
          <w:rFonts w:eastAsiaTheme="minorEastAsia" w:cstheme="minorHAnsi"/>
          <w:color w:val="000000" w:themeColor="text1"/>
          <w:lang w:eastAsia="fr-FR"/>
        </w:rPr>
        <w:t> ;</w:t>
      </w:r>
    </w:p>
    <w:p w:rsidR="00645381" w:rsidRDefault="00645381" w:rsidP="00645381">
      <w:pPr>
        <w:pStyle w:val="Paragraphedeliste"/>
        <w:numPr>
          <w:ilvl w:val="0"/>
          <w:numId w:val="7"/>
        </w:numPr>
        <w:autoSpaceDE w:val="0"/>
        <w:autoSpaceDN w:val="0"/>
        <w:adjustRightInd w:val="0"/>
        <w:spacing w:after="0" w:line="240" w:lineRule="auto"/>
        <w:jc w:val="both"/>
        <w:rPr>
          <w:rFonts w:eastAsiaTheme="minorEastAsia" w:cstheme="minorHAnsi"/>
          <w:lang w:eastAsia="fr-FR"/>
        </w:rPr>
      </w:pPr>
      <w:r w:rsidRPr="00035FD7">
        <w:rPr>
          <w:rFonts w:eastAsiaTheme="minorEastAsia" w:cstheme="minorHAnsi"/>
          <w:lang w:eastAsia="fr-FR"/>
        </w:rPr>
        <w:t>la déclinaison des orientations du SDAU dans les documents d’urbanisme réglementaire et opérationnel à l’échelle locale (PA) ;</w:t>
      </w:r>
    </w:p>
    <w:p w:rsidR="00035FD7" w:rsidRDefault="00035FD7" w:rsidP="00035FD7">
      <w:pPr>
        <w:pStyle w:val="Paragraphedeliste"/>
        <w:autoSpaceDE w:val="0"/>
        <w:autoSpaceDN w:val="0"/>
        <w:adjustRightInd w:val="0"/>
        <w:spacing w:after="0" w:line="240" w:lineRule="auto"/>
        <w:jc w:val="both"/>
        <w:rPr>
          <w:rFonts w:eastAsiaTheme="minorEastAsia" w:cstheme="minorHAnsi"/>
          <w:lang w:eastAsia="fr-FR"/>
        </w:rPr>
      </w:pPr>
    </w:p>
    <w:p w:rsidR="00645381" w:rsidRPr="00035FD7" w:rsidRDefault="00035FD7" w:rsidP="00035FD7">
      <w:pPr>
        <w:pStyle w:val="Paragraphedeliste"/>
        <w:autoSpaceDE w:val="0"/>
        <w:autoSpaceDN w:val="0"/>
        <w:adjustRightInd w:val="0"/>
        <w:spacing w:after="0" w:line="240" w:lineRule="auto"/>
        <w:ind w:left="284"/>
        <w:jc w:val="both"/>
        <w:rPr>
          <w:rFonts w:eastAsiaTheme="minorEastAsia" w:cstheme="minorHAnsi"/>
          <w:color w:val="000000" w:themeColor="text1"/>
          <w:lang w:eastAsia="fr-FR"/>
        </w:rPr>
      </w:pPr>
      <w:r>
        <w:rPr>
          <w:rFonts w:eastAsiaTheme="minorEastAsia" w:cstheme="minorHAnsi"/>
          <w:lang w:eastAsia="fr-FR"/>
        </w:rPr>
        <w:t xml:space="preserve">Cette étude sera couronnée par </w:t>
      </w:r>
      <w:r w:rsidRPr="00035FD7">
        <w:rPr>
          <w:rFonts w:eastAsiaTheme="minorEastAsia" w:cstheme="minorHAnsi"/>
          <w:color w:val="000000" w:themeColor="text1"/>
          <w:lang w:eastAsia="fr-FR"/>
        </w:rPr>
        <w:t>l</w:t>
      </w:r>
      <w:r w:rsidR="00645381" w:rsidRPr="00035FD7">
        <w:rPr>
          <w:rFonts w:eastAsiaTheme="minorEastAsia" w:cstheme="minorHAnsi"/>
          <w:color w:val="000000" w:themeColor="text1"/>
          <w:lang w:eastAsia="fr-FR"/>
        </w:rPr>
        <w:t>’é</w:t>
      </w:r>
      <w:r w:rsidRPr="00035FD7">
        <w:rPr>
          <w:rFonts w:eastAsiaTheme="minorEastAsia" w:cstheme="minorHAnsi"/>
          <w:color w:val="000000" w:themeColor="text1"/>
          <w:lang w:eastAsia="fr-FR"/>
        </w:rPr>
        <w:t>tablissement</w:t>
      </w:r>
      <w:r w:rsidR="00645381" w:rsidRPr="00035FD7">
        <w:rPr>
          <w:rFonts w:eastAsiaTheme="minorEastAsia" w:cstheme="minorHAnsi"/>
          <w:color w:val="000000" w:themeColor="text1"/>
          <w:lang w:eastAsia="fr-FR"/>
        </w:rPr>
        <w:t xml:space="preserve"> d’un bilan exhaustif et d’une analyse détaillée accompagnés d’une synthèse des dysfonctionnements et des contraintes d’ordres financier, foncier, organisationnel, institutionnel, réglementaire, juridique, technique et social qui ont pu entraver la mise en œuvre du SDAU </w:t>
      </w:r>
      <w:r>
        <w:rPr>
          <w:rFonts w:eastAsiaTheme="minorEastAsia" w:cstheme="minorHAnsi"/>
          <w:color w:val="000000" w:themeColor="text1"/>
          <w:lang w:eastAsia="fr-FR"/>
        </w:rPr>
        <w:t>ainsi que par l</w:t>
      </w:r>
      <w:r w:rsidR="00955718">
        <w:rPr>
          <w:rFonts w:eastAsiaTheme="minorEastAsia" w:cstheme="minorHAnsi"/>
          <w:color w:val="000000" w:themeColor="text1"/>
          <w:lang w:eastAsia="fr-FR"/>
        </w:rPr>
        <w:t>’</w:t>
      </w:r>
      <w:r w:rsidR="00645381" w:rsidRPr="00035FD7">
        <w:rPr>
          <w:rFonts w:eastAsiaTheme="minorEastAsia" w:cstheme="minorHAnsi"/>
          <w:color w:val="000000" w:themeColor="text1"/>
          <w:lang w:eastAsia="fr-FR"/>
        </w:rPr>
        <w:t>élaboration de propositions et recommandations pour pallier aux dysfonctionnements constatés et par conséquent la révision du SDAU.</w:t>
      </w:r>
    </w:p>
    <w:sectPr w:rsidR="00645381" w:rsidRPr="00035FD7" w:rsidSect="00D21D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Traditiona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7205FB0"/>
    <w:lvl w:ilvl="0">
      <w:numFmt w:val="bullet"/>
      <w:lvlText w:val="*"/>
      <w:lvlJc w:val="left"/>
      <w:pPr>
        <w:ind w:left="0" w:firstLine="0"/>
      </w:pPr>
    </w:lvl>
  </w:abstractNum>
  <w:abstractNum w:abstractNumId="1">
    <w:nsid w:val="26D574C6"/>
    <w:multiLevelType w:val="hybridMultilevel"/>
    <w:tmpl w:val="431E22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5271C8"/>
    <w:multiLevelType w:val="hybridMultilevel"/>
    <w:tmpl w:val="A1DC16B6"/>
    <w:lvl w:ilvl="0" w:tplc="040C0019">
      <w:numFmt w:val="bullet"/>
      <w:lvlText w:val="-"/>
      <w:lvlJc w:val="left"/>
      <w:pPr>
        <w:ind w:left="1440" w:hanging="360"/>
      </w:pPr>
      <w:rPr>
        <w:rFonts w:ascii="Comic Sans MS" w:eastAsia="Eras Bold ITC" w:hAnsi="Comic Sans MS" w:cs="Tradition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D774E4D"/>
    <w:multiLevelType w:val="hybridMultilevel"/>
    <w:tmpl w:val="64AA5F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4D336E73"/>
    <w:multiLevelType w:val="hybridMultilevel"/>
    <w:tmpl w:val="055259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C94DF1"/>
    <w:multiLevelType w:val="hybridMultilevel"/>
    <w:tmpl w:val="B096EEE0"/>
    <w:lvl w:ilvl="0" w:tplc="150AA7EC">
      <w:start w:val="1"/>
      <w:numFmt w:val="bullet"/>
      <w:lvlText w:val=""/>
      <w:lvlJc w:val="left"/>
      <w:pPr>
        <w:ind w:left="720" w:hanging="360"/>
      </w:pPr>
      <w:rPr>
        <w:rFonts w:ascii="Wingdings" w:hAnsi="Wingdings" w:hint="default"/>
        <w:color w:val="000000" w:themeColor="text1"/>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AE6649"/>
    <w:multiLevelType w:val="hybridMultilevel"/>
    <w:tmpl w:val="76147B12"/>
    <w:lvl w:ilvl="0" w:tplc="216CABD6">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6F2F1D6B"/>
    <w:multiLevelType w:val="hybridMultilevel"/>
    <w:tmpl w:val="B7FE23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0A07FC9"/>
    <w:multiLevelType w:val="hybridMultilevel"/>
    <w:tmpl w:val="37C296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3"/>
  </w:num>
  <w:num w:numId="6">
    <w:abstractNumId w:val="7"/>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defaultTabStop w:val="708"/>
  <w:hyphenationZone w:val="425"/>
  <w:characterSpacingControl w:val="doNotCompress"/>
  <w:compat/>
  <w:rsids>
    <w:rsidRoot w:val="00E756D7"/>
    <w:rsid w:val="00007E5E"/>
    <w:rsid w:val="00035FD7"/>
    <w:rsid w:val="000D4285"/>
    <w:rsid w:val="00196D7C"/>
    <w:rsid w:val="001E0854"/>
    <w:rsid w:val="00231648"/>
    <w:rsid w:val="003A20F9"/>
    <w:rsid w:val="003C01EF"/>
    <w:rsid w:val="003D2FF8"/>
    <w:rsid w:val="004060E7"/>
    <w:rsid w:val="00431F72"/>
    <w:rsid w:val="0051795A"/>
    <w:rsid w:val="00531FFF"/>
    <w:rsid w:val="005555EA"/>
    <w:rsid w:val="00555BD0"/>
    <w:rsid w:val="005C5B81"/>
    <w:rsid w:val="005C7B1B"/>
    <w:rsid w:val="00616880"/>
    <w:rsid w:val="00645381"/>
    <w:rsid w:val="006C2D17"/>
    <w:rsid w:val="00816A13"/>
    <w:rsid w:val="008F0940"/>
    <w:rsid w:val="00955718"/>
    <w:rsid w:val="009E1BE4"/>
    <w:rsid w:val="00A707AF"/>
    <w:rsid w:val="00B2313A"/>
    <w:rsid w:val="00BD5DA1"/>
    <w:rsid w:val="00C7000B"/>
    <w:rsid w:val="00CD5AFF"/>
    <w:rsid w:val="00D21DFB"/>
    <w:rsid w:val="00D33F24"/>
    <w:rsid w:val="00DA33B2"/>
    <w:rsid w:val="00DC31D2"/>
    <w:rsid w:val="00DC78BE"/>
    <w:rsid w:val="00E05B5D"/>
    <w:rsid w:val="00E2551B"/>
    <w:rsid w:val="00E30292"/>
    <w:rsid w:val="00E72139"/>
    <w:rsid w:val="00E756D7"/>
    <w:rsid w:val="00EC60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B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 03,Texte-Nelite,lp1,Bullet Number,Liste à puce - Normal,Bullet List,FooterText,numbered,List Paragraph11,Bulletr List Paragraph,列出段落,列出段落1,List Paragraph2,List Paragraph21,Listeafsnit1,Parágrafo da Lista1,MED LISTE"/>
    <w:basedOn w:val="Normal"/>
    <w:link w:val="ParagraphedelisteCar"/>
    <w:uiPriority w:val="34"/>
    <w:qFormat/>
    <w:rsid w:val="00E2551B"/>
    <w:pPr>
      <w:ind w:left="720"/>
      <w:contextualSpacing/>
    </w:pPr>
  </w:style>
  <w:style w:type="character" w:customStyle="1" w:styleId="ParagraphedelisteCar">
    <w:name w:val="Paragraphe de liste Car"/>
    <w:aliases w:val="Puce 03 Car,Texte-Nelite Car,lp1 Car,Bullet Number Car,Liste à puce - Normal Car,Bullet List Car,FooterText Car,numbered Car,List Paragraph11 Car,Bulletr List Paragraph Car,列出段落 Car,列出段落1 Car,List Paragraph2 Car,Listeafsnit1 Car"/>
    <w:link w:val="Paragraphedeliste"/>
    <w:uiPriority w:val="34"/>
    <w:locked/>
    <w:rsid w:val="000D4285"/>
  </w:style>
</w:styles>
</file>

<file path=word/webSettings.xml><?xml version="1.0" encoding="utf-8"?>
<w:webSettings xmlns:r="http://schemas.openxmlformats.org/officeDocument/2006/relationships" xmlns:w="http://schemas.openxmlformats.org/wordprocessingml/2006/main">
  <w:divs>
    <w:div w:id="466944621">
      <w:bodyDiv w:val="1"/>
      <w:marLeft w:val="0"/>
      <w:marRight w:val="0"/>
      <w:marTop w:val="0"/>
      <w:marBottom w:val="0"/>
      <w:divBdr>
        <w:top w:val="none" w:sz="0" w:space="0" w:color="auto"/>
        <w:left w:val="none" w:sz="0" w:space="0" w:color="auto"/>
        <w:bottom w:val="none" w:sz="0" w:space="0" w:color="auto"/>
        <w:right w:val="none" w:sz="0" w:space="0" w:color="auto"/>
      </w:divBdr>
    </w:div>
    <w:div w:id="611471442">
      <w:bodyDiv w:val="1"/>
      <w:marLeft w:val="0"/>
      <w:marRight w:val="0"/>
      <w:marTop w:val="0"/>
      <w:marBottom w:val="0"/>
      <w:divBdr>
        <w:top w:val="none" w:sz="0" w:space="0" w:color="auto"/>
        <w:left w:val="none" w:sz="0" w:space="0" w:color="auto"/>
        <w:bottom w:val="none" w:sz="0" w:space="0" w:color="auto"/>
        <w:right w:val="none" w:sz="0" w:space="0" w:color="auto"/>
      </w:divBdr>
    </w:div>
    <w:div w:id="736443208">
      <w:bodyDiv w:val="1"/>
      <w:marLeft w:val="0"/>
      <w:marRight w:val="0"/>
      <w:marTop w:val="0"/>
      <w:marBottom w:val="0"/>
      <w:divBdr>
        <w:top w:val="none" w:sz="0" w:space="0" w:color="auto"/>
        <w:left w:val="none" w:sz="0" w:space="0" w:color="auto"/>
        <w:bottom w:val="none" w:sz="0" w:space="0" w:color="auto"/>
        <w:right w:val="none" w:sz="0" w:space="0" w:color="auto"/>
      </w:divBdr>
    </w:div>
    <w:div w:id="82909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2946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CHARID</dc:creator>
  <cp:lastModifiedBy>CHARID</cp:lastModifiedBy>
  <cp:revision>2</cp:revision>
  <dcterms:created xsi:type="dcterms:W3CDTF">2020-04-21T15:53:00Z</dcterms:created>
  <dcterms:modified xsi:type="dcterms:W3CDTF">2020-04-21T15:53:00Z</dcterms:modified>
</cp:coreProperties>
</file>